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6.wmf" ContentType="image/x-wmf"/>
  <Override PartName="/word/media/image25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abealho"/>
        <w:spacing w:lineRule="auto" w:line="288"/>
        <w:ind w:left="0" w:right="569" w:hanging="0"/>
        <w:rPr>
          <w:rFonts w:eastAsia="Arial Unicode MS" w:ascii="Cambria" w:hAnsi="Cambria"/>
          <w:b/>
          <w:bCs/>
          <w:i/>
          <w:iCs/>
          <w:sz w:val="16"/>
          <w:szCs w:val="16"/>
        </w:rPr>
      </w:pPr>
      <w:r>
        <w:rPr>
          <w:rFonts w:eastAsia="Arial Unicode MS" w:ascii="Cambria" w:hAnsi="Cambria"/>
          <w:b/>
          <w:bCs/>
          <w:i/>
          <w:iCs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Missão</w:t>
      </w:r>
    </w:p>
    <w:p>
      <w:pPr>
        <w:pStyle w:val="Cabealho"/>
        <w:tabs>
          <w:tab w:val="center" w:pos="4252" w:leader="none"/>
          <w:tab w:val="center" w:pos="4320" w:leader="none"/>
          <w:tab w:val="right" w:pos="8504" w:leader="none"/>
          <w:tab w:val="right" w:pos="9180" w:leader="none"/>
        </w:tabs>
        <w:spacing w:lineRule="auto" w:line="288"/>
        <w:ind w:left="5579" w:right="249" w:firstLine="541"/>
        <w:jc w:val="both"/>
        <w:rPr>
          <w:rFonts w:eastAsia="Arial Unicode MS" w:ascii="Cambria" w:hAnsi="Cambria"/>
          <w:i/>
          <w:iCs/>
          <w:sz w:val="16"/>
          <w:szCs w:val="16"/>
        </w:rPr>
      </w:pPr>
      <w:r>
        <w:rPr>
          <w:rFonts w:eastAsia="Arial Unicode MS" w:ascii="Cambria" w:hAnsi="Cambria"/>
          <w:i/>
          <w:iCs/>
          <w:sz w:val="16"/>
          <w:szCs w:val="16"/>
        </w:rPr>
        <w:t>“</w:t>
      </w:r>
      <w:r>
        <w:rPr>
          <w:rFonts w:eastAsia="Arial Unicode MS" w:ascii="Cambria" w:hAnsi="Cambria"/>
          <w:i/>
          <w:iCs/>
          <w:sz w:val="16"/>
          <w:szCs w:val="16"/>
        </w:rPr>
        <w:t>Normatizar, controlar e fiscalizar os serviços de Saneamento Básico no Município do Natal, promovendo o equilíbrio entre o Poder Público, Usuários e Prestadores, buscando Cidadania, Saúde e Qualidade de Vida.”</w:t>
      </w:r>
    </w:p>
    <w:p>
      <w:pPr>
        <w:pStyle w:val="Cabealho"/>
        <w:tabs>
          <w:tab w:val="center" w:pos="4252" w:leader="none"/>
          <w:tab w:val="center" w:pos="4320" w:leader="none"/>
          <w:tab w:val="right" w:pos="8504" w:leader="none"/>
          <w:tab w:val="right" w:pos="9180" w:leader="none"/>
        </w:tabs>
        <w:spacing w:lineRule="auto" w:line="288"/>
        <w:ind w:left="5579" w:right="249" w:firstLine="541"/>
        <w:jc w:val="both"/>
        <w:rPr>
          <w:rFonts w:eastAsia="Arial Unicode MS" w:ascii="Cambria" w:hAnsi="Cambria"/>
          <w:i/>
          <w:iCs/>
          <w:sz w:val="16"/>
          <w:szCs w:val="16"/>
        </w:rPr>
      </w:pPr>
      <w:r>
        <w:rPr>
          <w:rFonts w:eastAsia="Arial Unicode MS" w:ascii="Cambria" w:hAnsi="Cambria"/>
          <w:i/>
          <w:iCs/>
          <w:sz w:val="16"/>
          <w:szCs w:val="16"/>
        </w:rPr>
      </w:r>
    </w:p>
    <w:p>
      <w:pPr>
        <w:pStyle w:val="Normal"/>
        <w:spacing w:before="240" w:after="0"/>
        <w:jc w:val="center"/>
        <w:rPr>
          <w:rFonts w:cs="Arial" w:ascii="Cambria" w:hAnsi="Cambria"/>
          <w:b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  <w:t>AGÊNCIA REGULADORA DE SERVIÇOS DE SANEAMENTO BÁSICO DO MUNICÍPIO DE NATAL</w:t>
      </w:r>
    </w:p>
    <w:p>
      <w:pPr>
        <w:pStyle w:val="Normal"/>
        <w:spacing w:before="240" w:after="0"/>
        <w:jc w:val="center"/>
        <w:rPr>
          <w:rFonts w:cs="Arial" w:ascii="Cambria" w:hAnsi="Cambria"/>
          <w:b/>
          <w:sz w:val="24"/>
          <w:szCs w:val="24"/>
          <w:u w:val="single"/>
        </w:rPr>
      </w:pPr>
      <w:r>
        <w:rPr>
          <w:rFonts w:cs="Arial" w:ascii="Cambria" w:hAnsi="Cambria"/>
          <w:b/>
          <w:sz w:val="24"/>
          <w:szCs w:val="24"/>
          <w:u w:val="single"/>
        </w:rPr>
        <w:t>RESOLUÇÃO N ° 001/2015, de 11 de fevereiro de 2015.</w:t>
      </w:r>
    </w:p>
    <w:p>
      <w:pPr>
        <w:pStyle w:val="Normal"/>
        <w:spacing w:before="240" w:after="0"/>
        <w:ind w:left="4536" w:right="0" w:firstLine="708"/>
        <w:jc w:val="both"/>
        <w:rPr>
          <w:rFonts w:eastAsia="Arial Unicode MS" w:cs="Arial" w:ascii="Cambria" w:hAnsi="Cambria"/>
          <w:sz w:val="24"/>
          <w:szCs w:val="24"/>
        </w:rPr>
      </w:pPr>
      <w:r>
        <w:rPr>
          <w:rFonts w:eastAsia="Arial Unicode MS" w:cs="Arial" w:ascii="Cambria" w:hAnsi="Cambria"/>
          <w:sz w:val="24"/>
          <w:szCs w:val="24"/>
        </w:rPr>
        <w:t>Dispõe sobre a aprovação dos indexadores de reajuste tarifário e o índice percentual, a título de reajuste tarifário, a ser aplicado à tabela das tarifas dos serviços de abastecimento de água e esgotamento sanitário no âmbito do Município do Natal e dá outras providências.</w:t>
      </w:r>
    </w:p>
    <w:p>
      <w:pPr>
        <w:pStyle w:val="Normal"/>
        <w:spacing w:before="240" w:after="0"/>
        <w:jc w:val="both"/>
        <w:rPr>
          <w:rFonts w:cs="Arial" w:ascii="Cambria" w:hAnsi="Cambria"/>
          <w:b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  <w:t>O DIRETOR PRESIDENTE DA AGÊNCIA REGULADORA DE SERVIÇOS DE SANEAMENTO BÁSICO DO MUNICÍPIO DE NATAL – ARSBAN,</w:t>
      </w:r>
    </w:p>
    <w:p>
      <w:pPr>
        <w:pStyle w:val="Normal"/>
        <w:spacing w:before="240" w:after="0"/>
        <w:ind w:left="0" w:right="0" w:firstLine="708"/>
        <w:jc w:val="both"/>
        <w:rPr>
          <w:rFonts w:cs="Arial" w:ascii="Cambria" w:hAnsi="Cambria"/>
          <w:spacing w:val="6"/>
          <w:sz w:val="24"/>
          <w:szCs w:val="24"/>
        </w:rPr>
      </w:pPr>
      <w:r>
        <w:rPr>
          <w:rFonts w:cs="Arial" w:ascii="Cambria" w:hAnsi="Cambria"/>
          <w:spacing w:val="6"/>
          <w:sz w:val="24"/>
          <w:szCs w:val="24"/>
        </w:rPr>
        <w:t>Considerando as atribuições legais previstas na Lei Municipal nº 5.346, de 28 de dezembro de 2001 e na Lei Complementar Municipal nº 141, de 28 de agosto de 2014; e em conformidade com as diretrizes nacionais para o saneamento básico, estabelecidas na Lei Federal nº 11.445, de janeiro de 2007, e seu regulamento, Decreto nº 7.217, de 21 de junho de 2010;</w:t>
      </w:r>
    </w:p>
    <w:p>
      <w:pPr>
        <w:pStyle w:val="Normal"/>
        <w:spacing w:before="240" w:after="0"/>
        <w:ind w:left="0" w:right="0" w:firstLine="708"/>
        <w:jc w:val="both"/>
        <w:rPr>
          <w:rFonts w:cs="Arial" w:ascii="Cambria" w:hAnsi="Cambria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Considerando as determinações de estabelecer os indexadores e índice de reajuste tarifário, conforme Resoluções 001 e 002/2013 – ARSBAN;</w:t>
      </w:r>
    </w:p>
    <w:p>
      <w:pPr>
        <w:pStyle w:val="Normal"/>
        <w:spacing w:before="240" w:after="0"/>
        <w:ind w:left="0" w:right="0" w:firstLine="708"/>
        <w:jc w:val="both"/>
        <w:rPr>
          <w:rFonts w:cs="Arial" w:ascii="Cambria" w:hAnsi="Cambria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Considerando a homologação da presente resolução pelo Conselho Municipal de Saneamento Básico – COMSAB ocorrida na 46ª Reunião Extraordinária, realizada no dia 11 de fevereiro de 2015.</w:t>
      </w:r>
    </w:p>
    <w:p>
      <w:pPr>
        <w:pStyle w:val="Normal"/>
        <w:spacing w:before="240" w:after="0"/>
        <w:jc w:val="both"/>
        <w:rPr>
          <w:rFonts w:cs="Arial" w:ascii="Cambria" w:hAnsi="Cambria"/>
          <w:b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  <w:t>RESOLVE:</w:t>
      </w:r>
    </w:p>
    <w:p>
      <w:pPr>
        <w:pStyle w:val="Normal"/>
        <w:spacing w:before="240" w:after="0"/>
        <w:ind w:left="0" w:right="0" w:firstLine="708"/>
        <w:jc w:val="both"/>
        <w:rPr>
          <w:rFonts w:cs="Arial" w:ascii="Cambria" w:hAnsi="Cambria"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  <w:t xml:space="preserve">Art. 1º. </w:t>
      </w:r>
      <w:r>
        <w:rPr>
          <w:rFonts w:cs="Arial" w:ascii="Cambria" w:hAnsi="Cambria"/>
          <w:sz w:val="24"/>
          <w:szCs w:val="24"/>
        </w:rPr>
        <w:t>Aprovar os Indexadores e a fórmula para aplicação do 1º reajuste tarifário do ciclo 2013-2017 na seguinte expressão:</w:t>
      </w:r>
    </w:p>
    <w:p>
      <w:pPr>
        <w:pStyle w:val="Normal"/>
        <w:spacing w:before="240" w:after="200"/>
        <w:jc w:val="both"/>
        <w:rPr>
          <w:rFonts w:cs="Arial" w:ascii="Cambria" w:hAnsi="Cambria"/>
          <w:bCs/>
          <w:sz w:val="24"/>
          <w:szCs w:val="24"/>
        </w:rPr>
      </w:pPr>
      <w:r>
        <w:rPr>
          <w:rFonts w:cs="Arial" w:ascii="Cambria" w:hAnsi="Cambria"/>
          <w:b/>
          <w:bCs/>
          <w:sz w:val="24"/>
          <w:szCs w:val="24"/>
        </w:rPr>
        <w:t xml:space="preserve">IRT = (%P x ∆IP)+(%MT x  ∆IGPDI)+(%EE x  ∆IEE)+(%ST x  ∆INCC)+(%GG x  ∆IPCA), </w:t>
      </w:r>
      <w:r>
        <w:rPr>
          <w:rFonts w:cs="Arial" w:ascii="Cambria" w:hAnsi="Cambria"/>
          <w:bCs/>
          <w:sz w:val="24"/>
          <w:szCs w:val="24"/>
        </w:rPr>
        <w:t>onde:</w:t>
      </w:r>
    </w:p>
    <w:p>
      <w:pPr>
        <w:pStyle w:val="Normal"/>
        <w:ind w:left="0" w:right="0" w:firstLine="708"/>
        <w:jc w:val="both"/>
        <w:rPr>
          <w:rFonts w:cs="Arial" w:ascii="Cambria" w:hAnsi="Cambria"/>
          <w:bCs/>
          <w:sz w:val="24"/>
          <w:szCs w:val="24"/>
        </w:rPr>
      </w:pPr>
      <w:r>
        <w:rPr>
          <w:rFonts w:cs="Arial" w:ascii="Cambria" w:hAnsi="Cambria"/>
          <w:b/>
          <w:bCs/>
          <w:sz w:val="24"/>
          <w:szCs w:val="24"/>
        </w:rPr>
        <w:t>IRT</w:t>
      </w:r>
      <w:r>
        <w:rPr>
          <w:rFonts w:cs="Arial" w:ascii="Cambria" w:hAnsi="Cambria"/>
          <w:bCs/>
          <w:sz w:val="24"/>
          <w:szCs w:val="24"/>
        </w:rPr>
        <w:t xml:space="preserve"> = Índice de Reajuste Tarifário;</w:t>
      </w:r>
    </w:p>
    <w:p>
      <w:pPr>
        <w:pStyle w:val="Normal"/>
        <w:ind w:left="0" w:right="0" w:firstLine="708"/>
        <w:jc w:val="both"/>
        <w:rPr>
          <w:rFonts w:cs="Arial" w:ascii="Cambria" w:hAnsi="Cambria"/>
          <w:bCs/>
          <w:sz w:val="24"/>
          <w:szCs w:val="24"/>
        </w:rPr>
      </w:pPr>
      <w:r>
        <w:rPr>
          <w:rFonts w:cs="Arial" w:ascii="Cambria" w:hAnsi="Cambria"/>
          <w:b/>
          <w:bCs/>
          <w:sz w:val="24"/>
          <w:szCs w:val="24"/>
        </w:rPr>
        <w:t xml:space="preserve">%P </w:t>
      </w:r>
      <w:r>
        <w:rPr>
          <w:rFonts w:cs="Arial" w:ascii="Cambria" w:hAnsi="Cambria"/>
          <w:bCs/>
          <w:sz w:val="24"/>
          <w:szCs w:val="24"/>
        </w:rPr>
        <w:t>= Participação percentual do total do custo com pessoal na despesa de exploração – DEX;</w:t>
      </w:r>
    </w:p>
    <w:p>
      <w:pPr>
        <w:pStyle w:val="Normal"/>
        <w:ind w:left="0" w:right="0" w:firstLine="708"/>
        <w:jc w:val="both"/>
        <w:rPr>
          <w:rFonts w:cs="Arial" w:ascii="Cambria" w:hAnsi="Cambria"/>
          <w:bCs/>
          <w:sz w:val="24"/>
          <w:szCs w:val="24"/>
        </w:rPr>
      </w:pPr>
      <w:r>
        <w:rPr>
          <w:rFonts w:cs="Arial" w:ascii="Cambria" w:hAnsi="Cambria"/>
          <w:b/>
          <w:bCs/>
          <w:sz w:val="24"/>
          <w:szCs w:val="24"/>
        </w:rPr>
        <w:t xml:space="preserve">%MT </w:t>
      </w:r>
      <w:r>
        <w:rPr>
          <w:rFonts w:cs="Arial" w:ascii="Cambria" w:hAnsi="Cambria"/>
          <w:bCs/>
          <w:sz w:val="24"/>
          <w:szCs w:val="24"/>
        </w:rPr>
        <w:t>= Participação percentual do total do custo com Materiais na despesa de exploração – DEX;</w:t>
      </w:r>
    </w:p>
    <w:p>
      <w:pPr>
        <w:pStyle w:val="Normal"/>
        <w:ind w:left="0" w:right="0" w:firstLine="708"/>
        <w:jc w:val="both"/>
        <w:rPr>
          <w:rFonts w:cs="Arial" w:ascii="Cambria" w:hAnsi="Cambria"/>
          <w:bCs/>
          <w:sz w:val="24"/>
          <w:szCs w:val="24"/>
        </w:rPr>
      </w:pPr>
      <w:r>
        <w:rPr>
          <w:rFonts w:cs="Arial" w:ascii="Cambria" w:hAnsi="Cambria"/>
          <w:b/>
          <w:bCs/>
          <w:sz w:val="24"/>
          <w:szCs w:val="24"/>
        </w:rPr>
        <w:t xml:space="preserve">%EE </w:t>
      </w:r>
      <w:r>
        <w:rPr>
          <w:rFonts w:cs="Arial" w:ascii="Cambria" w:hAnsi="Cambria"/>
          <w:bCs/>
          <w:sz w:val="24"/>
          <w:szCs w:val="24"/>
        </w:rPr>
        <w:t>= Participação percentual do total do custo com Energia Elétrica na despesa de exploração – DEX;</w:t>
      </w:r>
    </w:p>
    <w:p>
      <w:pPr>
        <w:pStyle w:val="Normal"/>
        <w:ind w:left="0" w:right="0" w:firstLine="708"/>
        <w:jc w:val="both"/>
        <w:rPr>
          <w:rFonts w:cs="Arial" w:ascii="Cambria" w:hAnsi="Cambria"/>
          <w:bCs/>
          <w:sz w:val="24"/>
          <w:szCs w:val="24"/>
        </w:rPr>
      </w:pPr>
      <w:r>
        <w:rPr>
          <w:rFonts w:cs="Arial" w:ascii="Cambria" w:hAnsi="Cambria"/>
          <w:b/>
          <w:bCs/>
          <w:sz w:val="24"/>
          <w:szCs w:val="24"/>
        </w:rPr>
        <w:t xml:space="preserve">%ST </w:t>
      </w:r>
      <w:r>
        <w:rPr>
          <w:rFonts w:cs="Arial" w:ascii="Cambria" w:hAnsi="Cambria"/>
          <w:bCs/>
          <w:sz w:val="24"/>
          <w:szCs w:val="24"/>
        </w:rPr>
        <w:t>= Participação percentual do total do custo com Serviço de Terceiros na despesa de exploração – DEX;</w:t>
      </w:r>
    </w:p>
    <w:p>
      <w:pPr>
        <w:pStyle w:val="Normal"/>
        <w:ind w:left="0" w:right="0" w:firstLine="708"/>
        <w:jc w:val="both"/>
        <w:rPr>
          <w:rFonts w:cs="Arial" w:ascii="Cambria" w:hAnsi="Cambria"/>
          <w:bCs/>
          <w:sz w:val="24"/>
          <w:szCs w:val="24"/>
        </w:rPr>
      </w:pPr>
      <w:r>
        <w:rPr>
          <w:rFonts w:cs="Arial" w:ascii="Cambria" w:hAnsi="Cambria"/>
          <w:b/>
          <w:bCs/>
          <w:sz w:val="24"/>
          <w:szCs w:val="24"/>
        </w:rPr>
        <w:t xml:space="preserve">%GG </w:t>
      </w:r>
      <w:r>
        <w:rPr>
          <w:rFonts w:cs="Arial" w:ascii="Cambria" w:hAnsi="Cambria"/>
          <w:bCs/>
          <w:sz w:val="24"/>
          <w:szCs w:val="24"/>
        </w:rPr>
        <w:t>= Participação percentual do total do custo com Gastos Gerais na despesa de exploração – DEX;</w:t>
      </w:r>
    </w:p>
    <w:p>
      <w:pPr>
        <w:pStyle w:val="Normal"/>
        <w:ind w:left="0" w:right="0" w:firstLine="708"/>
        <w:jc w:val="both"/>
        <w:rPr>
          <w:rFonts w:cs="Arial" w:ascii="Cambria" w:hAnsi="Cambria"/>
          <w:bCs/>
          <w:sz w:val="24"/>
          <w:szCs w:val="24"/>
        </w:rPr>
      </w:pPr>
      <w:r>
        <w:rPr>
          <w:rFonts w:cs="Arial" w:ascii="Cambria" w:hAnsi="Cambria"/>
          <w:b/>
          <w:bCs/>
          <w:sz w:val="24"/>
          <w:szCs w:val="24"/>
        </w:rPr>
        <w:t>∆</w:t>
      </w:r>
      <w:r>
        <w:rPr>
          <w:rFonts w:cs="Arial" w:ascii="Cambria" w:hAnsi="Cambria"/>
          <w:b/>
          <w:bCs/>
          <w:sz w:val="24"/>
          <w:szCs w:val="24"/>
        </w:rPr>
        <w:t>IP</w:t>
      </w:r>
      <w:r>
        <w:rPr>
          <w:rFonts w:cs="Arial" w:ascii="Cambria" w:hAnsi="Cambria"/>
          <w:bCs/>
          <w:sz w:val="24"/>
          <w:szCs w:val="24"/>
        </w:rPr>
        <w:t>= Variação do Índice de Pessoal no período;</w:t>
      </w:r>
    </w:p>
    <w:p>
      <w:pPr>
        <w:pStyle w:val="Normal"/>
        <w:ind w:left="0" w:right="0" w:firstLine="708"/>
        <w:jc w:val="both"/>
        <w:rPr>
          <w:rFonts w:cs="Arial" w:ascii="Cambria" w:hAnsi="Cambria"/>
          <w:bCs/>
          <w:sz w:val="24"/>
          <w:szCs w:val="24"/>
        </w:rPr>
      </w:pPr>
      <w:r>
        <w:rPr>
          <w:rFonts w:cs="Arial" w:ascii="Cambria" w:hAnsi="Cambria"/>
          <w:b/>
          <w:bCs/>
          <w:sz w:val="24"/>
          <w:szCs w:val="24"/>
        </w:rPr>
        <w:t>∆</w:t>
      </w:r>
      <w:r>
        <w:rPr>
          <w:rFonts w:cs="Arial" w:ascii="Cambria" w:hAnsi="Cambria"/>
          <w:b/>
          <w:bCs/>
          <w:sz w:val="24"/>
          <w:szCs w:val="24"/>
        </w:rPr>
        <w:t>IGPDI</w:t>
      </w:r>
      <w:r>
        <w:rPr>
          <w:rFonts w:cs="Arial" w:ascii="Cambria" w:hAnsi="Cambria"/>
          <w:bCs/>
          <w:sz w:val="24"/>
          <w:szCs w:val="24"/>
        </w:rPr>
        <w:t>= Variação do IGP-DI no período;</w:t>
      </w:r>
    </w:p>
    <w:p>
      <w:pPr>
        <w:pStyle w:val="Normal"/>
        <w:ind w:left="0" w:right="0" w:firstLine="708"/>
        <w:jc w:val="both"/>
        <w:rPr>
          <w:rFonts w:cs="Arial" w:ascii="Cambria" w:hAnsi="Cambria"/>
          <w:bCs/>
          <w:sz w:val="24"/>
          <w:szCs w:val="24"/>
        </w:rPr>
      </w:pPr>
      <w:r>
        <w:rPr>
          <w:rFonts w:cs="Arial" w:ascii="Cambria" w:hAnsi="Cambria"/>
          <w:b/>
          <w:bCs/>
          <w:sz w:val="24"/>
          <w:szCs w:val="24"/>
        </w:rPr>
        <w:t>∆</w:t>
      </w:r>
      <w:r>
        <w:rPr>
          <w:rFonts w:cs="Arial" w:ascii="Cambria" w:hAnsi="Cambria"/>
          <w:b/>
          <w:bCs/>
          <w:sz w:val="24"/>
          <w:szCs w:val="24"/>
        </w:rPr>
        <w:t>IEE</w:t>
      </w:r>
      <w:r>
        <w:rPr>
          <w:rFonts w:cs="Arial" w:ascii="Cambria" w:hAnsi="Cambria"/>
          <w:bCs/>
          <w:sz w:val="24"/>
          <w:szCs w:val="24"/>
        </w:rPr>
        <w:t>= Variação do Índice de Energia Elétrica no período;</w:t>
      </w:r>
    </w:p>
    <w:p>
      <w:pPr>
        <w:pStyle w:val="Normal"/>
        <w:ind w:left="0" w:right="0" w:firstLine="708"/>
        <w:jc w:val="both"/>
        <w:rPr>
          <w:rFonts w:cs="Arial" w:ascii="Cambria" w:hAnsi="Cambria"/>
          <w:bCs/>
          <w:sz w:val="24"/>
          <w:szCs w:val="24"/>
        </w:rPr>
      </w:pPr>
      <w:r>
        <w:rPr>
          <w:rFonts w:cs="Arial" w:ascii="Cambria" w:hAnsi="Cambria"/>
          <w:b/>
          <w:bCs/>
          <w:sz w:val="24"/>
          <w:szCs w:val="24"/>
        </w:rPr>
        <w:t>∆</w:t>
      </w:r>
      <w:r>
        <w:rPr>
          <w:rFonts w:cs="Arial" w:ascii="Cambria" w:hAnsi="Cambria"/>
          <w:b/>
          <w:bCs/>
          <w:sz w:val="24"/>
          <w:szCs w:val="24"/>
        </w:rPr>
        <w:t>INCC</w:t>
      </w:r>
      <w:r>
        <w:rPr>
          <w:rFonts w:cs="Arial" w:ascii="Cambria" w:hAnsi="Cambria"/>
          <w:bCs/>
          <w:sz w:val="24"/>
          <w:szCs w:val="24"/>
        </w:rPr>
        <w:t>= Variação do INCC-DI no período;</w:t>
      </w:r>
    </w:p>
    <w:p>
      <w:pPr>
        <w:pStyle w:val="Normal"/>
        <w:ind w:left="0" w:right="0" w:firstLine="708"/>
        <w:jc w:val="both"/>
        <w:rPr>
          <w:rFonts w:cs="Arial" w:ascii="Cambria" w:hAnsi="Cambria"/>
          <w:bCs/>
          <w:sz w:val="24"/>
          <w:szCs w:val="24"/>
        </w:rPr>
      </w:pPr>
      <w:r>
        <w:rPr>
          <w:rFonts w:cs="Arial" w:ascii="Cambria" w:hAnsi="Cambria"/>
          <w:b/>
          <w:bCs/>
          <w:sz w:val="24"/>
          <w:szCs w:val="24"/>
        </w:rPr>
        <w:t>∆</w:t>
      </w:r>
      <w:r>
        <w:rPr>
          <w:rFonts w:cs="Arial" w:ascii="Cambria" w:hAnsi="Cambria"/>
          <w:b/>
          <w:bCs/>
          <w:sz w:val="24"/>
          <w:szCs w:val="24"/>
        </w:rPr>
        <w:t>IPCA</w:t>
      </w:r>
      <w:r>
        <w:rPr>
          <w:rFonts w:cs="Arial" w:ascii="Cambria" w:hAnsi="Cambria"/>
          <w:bCs/>
          <w:sz w:val="24"/>
          <w:szCs w:val="24"/>
        </w:rPr>
        <w:t>= Variação do IPCA no período.</w:t>
      </w:r>
    </w:p>
    <w:p>
      <w:pPr>
        <w:pStyle w:val="Normal"/>
        <w:ind w:left="0" w:right="0" w:firstLine="708"/>
        <w:jc w:val="both"/>
        <w:rPr>
          <w:rFonts w:cs="Arial" w:ascii="Cambria" w:hAnsi="Cambria"/>
          <w:bCs/>
          <w:sz w:val="24"/>
          <w:szCs w:val="24"/>
        </w:rPr>
      </w:pPr>
      <w:r>
        <w:rPr>
          <w:rFonts w:cs="Arial" w:ascii="Cambria" w:hAnsi="Cambria"/>
          <w:b/>
          <w:bCs/>
          <w:sz w:val="24"/>
          <w:szCs w:val="24"/>
        </w:rPr>
        <w:t xml:space="preserve">Art. 2º. </w:t>
      </w:r>
      <w:r>
        <w:rPr>
          <w:rFonts w:cs="Arial" w:ascii="Cambria" w:hAnsi="Cambria"/>
          <w:bCs/>
          <w:sz w:val="24"/>
          <w:szCs w:val="24"/>
        </w:rPr>
        <w:t>Os indexadores de reajuste tarifário aprovados na presente resolução poderão ser alterados para a concessão dos próximos reajustes, para fins de melhor adequação da tarifa, considerando a necessidade de checagem de resultados da revisão tarifária, em respeito ao Art. 4º da Resolução ARSBAN Nº 002/2013 e conforme previsto no Art. 5º, § 2º da Resolução ARSBAN Nº 001/2013.</w:t>
      </w:r>
    </w:p>
    <w:p>
      <w:pPr>
        <w:pStyle w:val="Normal"/>
        <w:ind w:left="0" w:right="0" w:firstLine="708"/>
        <w:jc w:val="both"/>
        <w:rPr>
          <w:rFonts w:cs="Arial" w:ascii="Cambria" w:hAnsi="Cambria"/>
          <w:sz w:val="24"/>
          <w:szCs w:val="24"/>
        </w:rPr>
      </w:pPr>
      <w:r>
        <w:rPr>
          <w:rFonts w:cs="Arial" w:ascii="Cambria" w:hAnsi="Cambria"/>
          <w:b/>
          <w:bCs/>
          <w:sz w:val="24"/>
          <w:szCs w:val="24"/>
        </w:rPr>
        <w:t>Art. 3º.</w:t>
      </w:r>
      <w:r>
        <w:rPr>
          <w:rFonts w:cs="Arial" w:ascii="Cambria" w:hAnsi="Cambria"/>
          <w:bCs/>
          <w:sz w:val="24"/>
          <w:szCs w:val="24"/>
        </w:rPr>
        <w:t xml:space="preserve"> </w:t>
      </w:r>
      <w:r>
        <w:rPr>
          <w:rFonts w:cs="Arial" w:ascii="Cambria" w:hAnsi="Cambria"/>
          <w:sz w:val="24"/>
          <w:szCs w:val="24"/>
        </w:rPr>
        <w:t>Homologar, de acordo com Lei Federal 11.445/2007, Art. 37, o 1º reajuste linear do ciclo tarifário 2013-2017 na tarifa dos serviços de abastecimento de água e esgotamento sanitário em 10,28% (dez vírgula vinte e oito por cento), sendo 9,15% (nove vírgula quinze por cento) referente aos indexadores e 1,13% (um vírgula treze por cento) ao atendimento da Resolução 003/2014 ARSBAN, devendo ser aplicado sobre os consumos realizados a partir de 30 dias após a sua publicação, conforme Quadro I em anexo.</w:t>
      </w:r>
    </w:p>
    <w:p>
      <w:pPr>
        <w:pStyle w:val="Normal"/>
        <w:spacing w:before="240" w:after="0"/>
        <w:ind w:left="0" w:right="0" w:firstLine="708"/>
        <w:jc w:val="both"/>
        <w:rPr>
          <w:rFonts w:cs="Arial" w:ascii="Cambria" w:hAnsi="Cambria"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  <w:t>§ 1º.</w:t>
      </w:r>
      <w:r>
        <w:rPr>
          <w:rFonts w:cs="Arial" w:ascii="Cambria" w:hAnsi="Cambria"/>
          <w:sz w:val="24"/>
          <w:szCs w:val="24"/>
        </w:rPr>
        <w:t xml:space="preserve"> O percentual referente ao atendimento a Resolução 003/2014 ARSBAN será dividido para os três reajustes linear do ciclo tarifário 2013-2017 sendo:</w:t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992"/>
        <w:gridCol w:w="2990"/>
        <w:gridCol w:w="2996"/>
      </w:tblGrid>
      <w:tr>
        <w:trPr>
          <w:cantSplit w:val="false"/>
        </w:trPr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240" w:after="0"/>
              <w:jc w:val="center"/>
              <w:rPr>
                <w:rFonts w:cs="Arial" w:ascii="Cambria" w:hAnsi="Cambria"/>
                <w:b/>
                <w:sz w:val="24"/>
                <w:szCs w:val="24"/>
              </w:rPr>
            </w:pPr>
            <w:r>
              <w:rPr>
                <w:rFonts w:cs="Arial" w:ascii="Cambria" w:hAnsi="Cambria"/>
                <w:b/>
                <w:sz w:val="24"/>
                <w:szCs w:val="24"/>
              </w:rPr>
              <w:t>2015</w:t>
            </w:r>
          </w:p>
        </w:tc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240" w:after="0"/>
              <w:jc w:val="center"/>
              <w:rPr>
                <w:rFonts w:cs="Arial" w:ascii="Cambria" w:hAnsi="Cambria"/>
                <w:b/>
                <w:sz w:val="24"/>
                <w:szCs w:val="24"/>
              </w:rPr>
            </w:pPr>
            <w:r>
              <w:rPr>
                <w:rFonts w:cs="Arial" w:ascii="Cambria" w:hAnsi="Cambria"/>
                <w:b/>
                <w:sz w:val="24"/>
                <w:szCs w:val="24"/>
              </w:rPr>
              <w:t>2016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240" w:after="0"/>
              <w:jc w:val="center"/>
              <w:rPr>
                <w:rFonts w:cs="Arial" w:ascii="Cambria" w:hAnsi="Cambria"/>
                <w:b/>
                <w:sz w:val="24"/>
                <w:szCs w:val="24"/>
              </w:rPr>
            </w:pPr>
            <w:r>
              <w:rPr>
                <w:rFonts w:cs="Arial" w:ascii="Cambria" w:hAnsi="Cambria"/>
                <w:b/>
                <w:sz w:val="24"/>
                <w:szCs w:val="24"/>
              </w:rPr>
              <w:t>2017</w:t>
            </w:r>
          </w:p>
        </w:tc>
      </w:tr>
      <w:tr>
        <w:trPr>
          <w:cantSplit w:val="false"/>
        </w:trPr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240" w:after="0"/>
              <w:jc w:val="center"/>
              <w:rPr>
                <w:rFonts w:cs="Arial" w:ascii="Cambria" w:hAnsi="Cambria"/>
                <w:sz w:val="24"/>
                <w:szCs w:val="24"/>
              </w:rPr>
            </w:pPr>
            <w:r>
              <w:rPr>
                <w:rFonts w:cs="Arial" w:ascii="Cambria" w:hAnsi="Cambria"/>
                <w:sz w:val="24"/>
                <w:szCs w:val="24"/>
              </w:rPr>
              <w:t>1,13%</w:t>
            </w:r>
          </w:p>
          <w:p>
            <w:pPr>
              <w:pStyle w:val="Normal"/>
              <w:spacing w:before="240" w:after="0"/>
              <w:jc w:val="center"/>
              <w:rPr>
                <w:rFonts w:cs="Arial" w:ascii="Cambria" w:hAnsi="Cambria"/>
                <w:sz w:val="16"/>
                <w:szCs w:val="24"/>
              </w:rPr>
            </w:pPr>
            <w:r>
              <w:rPr>
                <w:rFonts w:cs="Arial" w:ascii="Cambria" w:hAnsi="Cambria"/>
                <w:sz w:val="16"/>
                <w:szCs w:val="24"/>
              </w:rPr>
              <w:t>(um vírgula treze por cento)</w:t>
            </w:r>
          </w:p>
        </w:tc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240" w:after="0"/>
              <w:jc w:val="center"/>
              <w:rPr>
                <w:rFonts w:cs="Arial" w:ascii="Cambria" w:hAnsi="Cambria"/>
                <w:sz w:val="24"/>
                <w:szCs w:val="24"/>
              </w:rPr>
            </w:pPr>
            <w:r>
              <w:rPr>
                <w:rFonts w:cs="Arial" w:ascii="Cambria" w:hAnsi="Cambria"/>
                <w:sz w:val="24"/>
                <w:szCs w:val="24"/>
              </w:rPr>
              <w:t>0,86%</w:t>
            </w:r>
          </w:p>
          <w:p>
            <w:pPr>
              <w:pStyle w:val="Normal"/>
              <w:spacing w:before="240" w:after="0"/>
              <w:jc w:val="center"/>
              <w:rPr>
                <w:rFonts w:cs="Arial" w:ascii="Cambria" w:hAnsi="Cambria"/>
                <w:sz w:val="16"/>
                <w:szCs w:val="24"/>
              </w:rPr>
            </w:pPr>
            <w:r>
              <w:rPr>
                <w:rFonts w:cs="Arial" w:ascii="Cambria" w:hAnsi="Cambria"/>
                <w:sz w:val="16"/>
                <w:szCs w:val="24"/>
              </w:rPr>
              <w:t>(zero vírgula oitenta e seis por cento)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240" w:after="0"/>
              <w:jc w:val="center"/>
              <w:rPr>
                <w:rFonts w:cs="Arial" w:ascii="Cambria" w:hAnsi="Cambria"/>
                <w:sz w:val="24"/>
                <w:szCs w:val="24"/>
              </w:rPr>
            </w:pPr>
            <w:r>
              <w:rPr>
                <w:rFonts w:cs="Arial" w:ascii="Cambria" w:hAnsi="Cambria"/>
                <w:sz w:val="24"/>
                <w:szCs w:val="24"/>
              </w:rPr>
              <w:t>0,78%</w:t>
            </w:r>
          </w:p>
          <w:p>
            <w:pPr>
              <w:pStyle w:val="Normal"/>
              <w:spacing w:before="240" w:after="0"/>
              <w:jc w:val="center"/>
              <w:rPr>
                <w:rFonts w:cs="Arial" w:ascii="Cambria" w:hAnsi="Cambria"/>
                <w:sz w:val="16"/>
                <w:szCs w:val="24"/>
              </w:rPr>
            </w:pPr>
            <w:r>
              <w:rPr>
                <w:rFonts w:cs="Arial" w:ascii="Cambria" w:hAnsi="Cambria"/>
                <w:sz w:val="16"/>
                <w:szCs w:val="24"/>
              </w:rPr>
              <w:t>(zero vírgula setenta e oito por cento)</w:t>
            </w:r>
          </w:p>
        </w:tc>
      </w:tr>
    </w:tbl>
    <w:p>
      <w:pPr>
        <w:pStyle w:val="Normal"/>
        <w:spacing w:before="240" w:after="0"/>
        <w:ind w:left="0" w:right="0" w:firstLine="708"/>
        <w:jc w:val="both"/>
        <w:rPr>
          <w:rFonts w:cs="Arial" w:ascii="Cambria" w:hAnsi="Cambria"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  <w:t xml:space="preserve">§ 2º. </w:t>
      </w:r>
      <w:r>
        <w:rPr>
          <w:rFonts w:cs="Arial" w:ascii="Cambria" w:hAnsi="Cambria"/>
          <w:sz w:val="24"/>
          <w:szCs w:val="24"/>
        </w:rPr>
        <w:t>A aplicação dos percentuais estabelecidos no parágrafo anterior, para os anos 2016 e 2017, ficará condicionado ao total cumprimento da Resolução 003/2014 ARSBAN.</w:t>
      </w:r>
    </w:p>
    <w:p>
      <w:pPr>
        <w:pStyle w:val="Normal"/>
        <w:spacing w:before="240" w:after="0"/>
        <w:ind w:left="0" w:right="0" w:firstLine="708"/>
        <w:jc w:val="both"/>
        <w:rPr>
          <w:rFonts w:cs="Arial" w:ascii="Cambria" w:hAnsi="Cambria"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  <w:t>§ 3º.</w:t>
      </w:r>
      <w:r>
        <w:rPr>
          <w:rFonts w:cs="Arial" w:ascii="Cambria" w:hAnsi="Cambria"/>
          <w:sz w:val="24"/>
          <w:szCs w:val="24"/>
        </w:rPr>
        <w:t xml:space="preserve"> Fica mantida a cobrança das tarifas dos serviços de esgotamento sanitário nos seguintes percentuais:</w:t>
      </w:r>
    </w:p>
    <w:p>
      <w:pPr>
        <w:pStyle w:val="Normal"/>
        <w:spacing w:before="240" w:after="0"/>
        <w:ind w:left="0" w:right="0" w:firstLine="708"/>
        <w:jc w:val="both"/>
        <w:rPr>
          <w:rFonts w:cs="Arial" w:ascii="Cambria" w:hAnsi="Cambria"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  <w:t>I –</w:t>
      </w:r>
      <w:r>
        <w:rPr>
          <w:rFonts w:cs="Arial" w:ascii="Cambria" w:hAnsi="Cambria"/>
          <w:sz w:val="24"/>
          <w:szCs w:val="24"/>
        </w:rPr>
        <w:t xml:space="preserve"> 35% (trinta e cinco por cento) da tarifa de água para consumo em todas as categorias de consumidores para esgotos condominiais;</w:t>
      </w:r>
    </w:p>
    <w:p>
      <w:pPr>
        <w:pStyle w:val="Normal"/>
        <w:spacing w:before="240" w:after="0"/>
        <w:ind w:left="0" w:right="0" w:firstLine="708"/>
        <w:jc w:val="both"/>
        <w:rPr>
          <w:rFonts w:cs="Arial" w:ascii="Cambria" w:hAnsi="Cambria"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  <w:t>II –</w:t>
      </w:r>
      <w:r>
        <w:rPr>
          <w:rFonts w:cs="Arial" w:ascii="Cambria" w:hAnsi="Cambria"/>
          <w:sz w:val="24"/>
          <w:szCs w:val="24"/>
        </w:rPr>
        <w:t xml:space="preserve"> 70% (setenta por cento) da tarifa de água para consumo em todas as categorias de consumidores para esgotos convencionais;</w:t>
      </w:r>
    </w:p>
    <w:p>
      <w:pPr>
        <w:pStyle w:val="Normal"/>
        <w:spacing w:before="240" w:after="0"/>
        <w:ind w:left="0" w:right="0" w:firstLine="708"/>
        <w:jc w:val="both"/>
        <w:rPr>
          <w:rFonts w:cs="Arial" w:ascii="Cambria" w:hAnsi="Cambria"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  <w:t>III –</w:t>
      </w:r>
      <w:r>
        <w:rPr>
          <w:rFonts w:cs="Arial" w:ascii="Cambria" w:hAnsi="Cambria"/>
          <w:sz w:val="24"/>
          <w:szCs w:val="24"/>
        </w:rPr>
        <w:t xml:space="preserve"> 100% (cem por cento) da tarifa de água para os poços tubulares.</w:t>
      </w:r>
    </w:p>
    <w:p>
      <w:pPr>
        <w:pStyle w:val="Normal"/>
        <w:spacing w:before="240" w:after="0"/>
        <w:jc w:val="both"/>
        <w:rPr>
          <w:rFonts w:eastAsia="Arial Unicode MS" w:cs="Arial" w:ascii="Cambria" w:hAnsi="Cambria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ab/>
      </w:r>
      <w:r>
        <w:rPr>
          <w:rFonts w:eastAsia="Arial Unicode MS" w:cs="Arial" w:ascii="Cambria" w:hAnsi="Cambria"/>
          <w:b/>
          <w:sz w:val="24"/>
          <w:szCs w:val="24"/>
        </w:rPr>
        <w:t xml:space="preserve">Art. 4°. </w:t>
      </w:r>
      <w:r>
        <w:rPr>
          <w:rFonts w:eastAsia="Arial Unicode MS" w:cs="Arial" w:ascii="Cambria" w:hAnsi="Cambria"/>
          <w:sz w:val="24"/>
          <w:szCs w:val="24"/>
        </w:rPr>
        <w:t>Determinar a CAERN dar publicidade em até quinze dias corridos na íntegra, ao teor da presente resolução e seu anexo tarifário, em pelo menos dois jornais de grande circulação na cidade do Natal.</w:t>
      </w:r>
    </w:p>
    <w:p>
      <w:pPr>
        <w:pStyle w:val="Normal"/>
        <w:spacing w:before="240" w:after="0"/>
        <w:ind w:left="0" w:right="0" w:firstLine="708"/>
        <w:jc w:val="both"/>
        <w:rPr>
          <w:rFonts w:eastAsia="Arial Unicode MS" w:cs="Arial" w:ascii="Cambria" w:hAnsi="Cambria"/>
          <w:sz w:val="24"/>
          <w:szCs w:val="24"/>
        </w:rPr>
      </w:pPr>
      <w:r>
        <w:rPr>
          <w:rFonts w:eastAsia="Arial Unicode MS" w:cs="Arial" w:ascii="Cambria" w:hAnsi="Cambria"/>
          <w:b/>
          <w:sz w:val="24"/>
          <w:szCs w:val="24"/>
        </w:rPr>
        <w:t>Art. 5°.</w:t>
      </w:r>
      <w:r>
        <w:rPr>
          <w:rFonts w:eastAsia="Arial Unicode MS" w:cs="Arial" w:ascii="Cambria" w:hAnsi="Cambria"/>
          <w:sz w:val="24"/>
          <w:szCs w:val="24"/>
        </w:rPr>
        <w:t xml:space="preserve"> Esta Resolução entrará em vigor a partir da sua publicação, revogando-se todas as disposições em contrário.</w:t>
      </w:r>
    </w:p>
    <w:p>
      <w:pPr>
        <w:pStyle w:val="Normal"/>
        <w:spacing w:before="240" w:after="0"/>
        <w:ind w:left="0" w:right="0" w:firstLine="708"/>
        <w:jc w:val="both"/>
        <w:rPr>
          <w:rFonts w:eastAsia="Arial Unicode MS" w:cs="Arial" w:ascii="Cambria" w:hAnsi="Cambria"/>
          <w:sz w:val="24"/>
          <w:szCs w:val="24"/>
        </w:rPr>
      </w:pPr>
      <w:r>
        <w:rPr>
          <w:rFonts w:eastAsia="Arial Unicode MS" w:cs="Arial" w:ascii="Cambria" w:hAnsi="Cambria"/>
          <w:sz w:val="24"/>
          <w:szCs w:val="24"/>
        </w:rPr>
      </w:r>
    </w:p>
    <w:p>
      <w:pPr>
        <w:pStyle w:val="Normal"/>
        <w:spacing w:before="0" w:after="0"/>
        <w:jc w:val="center"/>
        <w:rPr>
          <w:rFonts w:eastAsia="Arial Unicode MS" w:cs="Arial"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eastAsia="Arial Unicode MS" w:cs="Arial" w:ascii="Cambria" w:hAnsi="Cambria"/>
          <w:b/>
          <w:sz w:val="24"/>
          <w:szCs w:val="24"/>
        </w:rPr>
        <w:t>Cláudio Henrique Pessoa Porpino</w:t>
      </w:r>
    </w:p>
    <w:p>
      <w:pPr>
        <w:pStyle w:val="Normal"/>
        <w:spacing w:before="0" w:after="0"/>
        <w:jc w:val="center"/>
        <w:rPr>
          <w:rFonts w:eastAsia="Arial Unicode MS" w:cs="Arial" w:ascii="Cambria" w:hAnsi="Cambria"/>
          <w:sz w:val="24"/>
          <w:szCs w:val="24"/>
        </w:rPr>
      </w:pPr>
      <w:r>
        <w:rPr>
          <w:rFonts w:eastAsia="Arial Unicode MS" w:cs="Arial" w:ascii="Cambria" w:hAnsi="Cambria"/>
          <w:sz w:val="24"/>
          <w:szCs w:val="24"/>
        </w:rPr>
        <w:t>Diretor Presidente</w:t>
      </w:r>
    </w:p>
    <w:p>
      <w:pPr>
        <w:pStyle w:val="Normal"/>
        <w:suppressAutoHyphens w:val="false"/>
        <w:spacing w:before="0" w:after="0"/>
        <w:rPr>
          <w:rFonts w:eastAsia="Arial Unicode MS" w:cs="Arial" w:ascii="Cambria" w:hAnsi="Cambria"/>
          <w:sz w:val="24"/>
          <w:szCs w:val="24"/>
        </w:rPr>
      </w:pPr>
      <w:r>
        <w:rPr>
          <w:rFonts w:eastAsia="Arial Unicode MS" w:cs="Arial" w:ascii="Cambria" w:hAnsi="Cambria"/>
          <w:sz w:val="24"/>
          <w:szCs w:val="24"/>
        </w:rPr>
      </w:r>
    </w:p>
    <w:p>
      <w:pPr>
        <w:pStyle w:val="Normal"/>
        <w:pageBreakBefore/>
        <w:widowControl w:val="false"/>
        <w:tabs>
          <w:tab w:val="left" w:pos="8364" w:leader="none"/>
        </w:tabs>
        <w:spacing w:before="0" w:after="0"/>
        <w:jc w:val="center"/>
        <w:rPr>
          <w:rFonts w:cs="Times New Roman" w:ascii="Cambria" w:hAnsi="Cambria"/>
          <w:b/>
          <w:bCs/>
          <w:caps/>
          <w:sz w:val="24"/>
          <w:szCs w:val="24"/>
        </w:rPr>
      </w:pPr>
      <w:r>
        <w:rPr>
          <w:rFonts w:cs="Times New Roman" w:ascii="Cambria" w:hAnsi="Cambria"/>
          <w:b/>
          <w:bCs/>
          <w:caps/>
          <w:sz w:val="24"/>
          <w:szCs w:val="24"/>
        </w:rPr>
        <w:t>ANEXO</w:t>
      </w:r>
    </w:p>
    <w:p>
      <w:pPr>
        <w:pStyle w:val="Normal"/>
        <w:widowControl w:val="false"/>
        <w:tabs>
          <w:tab w:val="left" w:pos="8364" w:leader="none"/>
        </w:tabs>
        <w:spacing w:before="240" w:after="0"/>
        <w:jc w:val="center"/>
        <w:rPr>
          <w:rFonts w:cs="Times New Roman" w:ascii="Cambria" w:hAnsi="Cambria"/>
          <w:b/>
          <w:bCs/>
          <w:caps/>
          <w:sz w:val="24"/>
          <w:szCs w:val="24"/>
        </w:rPr>
      </w:pPr>
      <w:r>
        <w:rPr>
          <w:rFonts w:cs="Times New Roman" w:ascii="Cambria" w:hAnsi="Cambria"/>
          <w:b/>
          <w:bCs/>
          <w:caps/>
          <w:sz w:val="24"/>
          <w:szCs w:val="24"/>
        </w:rPr>
        <w:t>QUADRO I</w:t>
      </w:r>
    </w:p>
    <w:p>
      <w:pPr>
        <w:pStyle w:val="Normal"/>
        <w:widowControl w:val="false"/>
        <w:tabs>
          <w:tab w:val="left" w:pos="8364" w:leader="none"/>
        </w:tabs>
        <w:spacing w:before="240" w:after="0"/>
        <w:jc w:val="center"/>
        <w:rPr>
          <w:rFonts w:cs="Times New Roman" w:ascii="Cambria" w:hAnsi="Cambria"/>
          <w:b/>
          <w:bCs/>
          <w:caps/>
          <w:sz w:val="24"/>
          <w:szCs w:val="24"/>
        </w:rPr>
      </w:pPr>
      <w:r>
        <w:rPr>
          <w:rFonts w:cs="Times New Roman" w:ascii="Cambria" w:hAnsi="Cambria"/>
          <w:b/>
          <w:bCs/>
          <w:caps/>
          <w:sz w:val="24"/>
          <w:szCs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509"/>
        <w:gridCol w:w="893"/>
        <w:gridCol w:w="999"/>
        <w:gridCol w:w="914"/>
        <w:gridCol w:w="914"/>
        <w:gridCol w:w="913"/>
        <w:gridCol w:w="914"/>
        <w:gridCol w:w="932"/>
        <w:gridCol w:w="1050"/>
      </w:tblGrid>
      <w:tr>
        <w:trPr>
          <w:cantSplit w:val="false"/>
        </w:trPr>
        <w:tc>
          <w:tcPr>
            <w:tcW w:w="9038" w:type="dxa"/>
            <w:gridSpan w:val="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4F81BD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0" w:after="0"/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>ESTRUTURA TARIFÁRIA 2015 – Reajuste de 10,28%</w:t>
            </w:r>
          </w:p>
          <w:p>
            <w:pPr>
              <w:pStyle w:val="Normal"/>
              <w:widowControl w:val="false"/>
              <w:tabs>
                <w:tab w:val="left" w:pos="8364" w:leader="none"/>
              </w:tabs>
              <w:spacing w:before="0" w:after="0"/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>(Valores em R$)</w:t>
            </w:r>
          </w:p>
        </w:tc>
      </w:tr>
      <w:tr>
        <w:trPr>
          <w:trHeight w:val="540" w:hRule="atLeast"/>
          <w:cantSplit w:val="false"/>
        </w:trPr>
        <w:tc>
          <w:tcPr>
            <w:tcW w:w="1509" w:type="dxa"/>
            <w:vMerge w:val="restart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D3DFEE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Classes de consumo</w:t>
            </w:r>
          </w:p>
        </w:tc>
        <w:tc>
          <w:tcPr>
            <w:tcW w:w="893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3DFEE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Cota Básica (m³)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3DFEE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Tarifa Mínima</w:t>
            </w:r>
          </w:p>
        </w:tc>
        <w:tc>
          <w:tcPr>
            <w:tcW w:w="5637" w:type="dxa"/>
            <w:gridSpan w:val="6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D3DFEE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Consumos Excedentes para os medidos (m³)</w:t>
            </w:r>
          </w:p>
        </w:tc>
      </w:tr>
      <w:tr>
        <w:trPr>
          <w:trHeight w:val="540" w:hRule="atLeast"/>
          <w:cantSplit w:val="false"/>
        </w:trPr>
        <w:tc>
          <w:tcPr>
            <w:tcW w:w="1509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93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9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11-15m³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16-20m³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21-30m³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31-50m³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51-100m³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&gt;100m³</w:t>
            </w:r>
          </w:p>
        </w:tc>
      </w:tr>
      <w:tr>
        <w:trPr>
          <w:trHeight w:val="803" w:hRule="atLeast"/>
          <w:cantSplit w:val="false"/>
        </w:trPr>
        <w:tc>
          <w:tcPr>
            <w:tcW w:w="150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D3DFEE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Residencial Social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3DFEE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3DFEE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6,24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3DFEE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3,45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3DFEE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4,08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3DFEE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4,60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3DFEE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5,29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3DFEE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6,85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D3DFEE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7,79</w:t>
            </w:r>
          </w:p>
        </w:tc>
      </w:tr>
      <w:tr>
        <w:trPr>
          <w:trHeight w:val="803" w:hRule="atLeast"/>
          <w:cantSplit w:val="false"/>
        </w:trPr>
        <w:tc>
          <w:tcPr>
            <w:tcW w:w="150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Residencial Popular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19,67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3,45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4,08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4,60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5,29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6,85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7,79</w:t>
            </w:r>
          </w:p>
        </w:tc>
      </w:tr>
      <w:tr>
        <w:trPr>
          <w:trHeight w:val="803" w:hRule="atLeast"/>
          <w:cantSplit w:val="false"/>
        </w:trPr>
        <w:tc>
          <w:tcPr>
            <w:tcW w:w="150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D3DFEE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Residencial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3DFEE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3DFEE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30,96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3DFEE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3,45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3DFEE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4,08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3DFEE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4,60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3DFEE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5,29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3DFEE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6,85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D3DFEE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7,79</w:t>
            </w:r>
          </w:p>
        </w:tc>
      </w:tr>
      <w:tr>
        <w:trPr>
          <w:trHeight w:val="803" w:hRule="atLeast"/>
          <w:cantSplit w:val="false"/>
        </w:trPr>
        <w:tc>
          <w:tcPr>
            <w:tcW w:w="150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Comercial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47,63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6,45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7,79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7,79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7,79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7,79</w:t>
            </w:r>
          </w:p>
        </w:tc>
      </w:tr>
      <w:tr>
        <w:trPr>
          <w:trHeight w:val="803" w:hRule="atLeast"/>
          <w:cantSplit w:val="false"/>
        </w:trPr>
        <w:tc>
          <w:tcPr>
            <w:tcW w:w="150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D3DFEE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Industrial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3DFEE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3DFEE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103,87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3DFEE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3DFEE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3DFEE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8,56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3DFEE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8,56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3DFEE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8,56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D3DFEE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8,56</w:t>
            </w:r>
          </w:p>
        </w:tc>
      </w:tr>
      <w:tr>
        <w:trPr>
          <w:trHeight w:val="803" w:hRule="atLeast"/>
          <w:cantSplit w:val="false"/>
        </w:trPr>
        <w:tc>
          <w:tcPr>
            <w:tcW w:w="15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Pública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99,54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8,56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8,56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8,56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tabs>
                <w:tab w:val="left" w:pos="8364" w:leader="none"/>
              </w:tabs>
              <w:spacing w:before="240" w:after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8,56</w:t>
            </w:r>
          </w:p>
        </w:tc>
      </w:tr>
    </w:tbl>
    <w:p>
      <w:pPr>
        <w:pStyle w:val="Normal"/>
        <w:widowControl w:val="false"/>
        <w:tabs>
          <w:tab w:val="left" w:pos="8364" w:leader="none"/>
        </w:tabs>
        <w:spacing w:before="240" w:after="0"/>
        <w:jc w:val="center"/>
        <w:rPr>
          <w:rFonts w:cs="Times New Roman" w:ascii="Cambria" w:hAnsi="Cambria"/>
          <w:b/>
          <w:bCs/>
          <w:caps/>
          <w:sz w:val="24"/>
          <w:szCs w:val="24"/>
        </w:rPr>
      </w:pPr>
      <w:r>
        <w:rPr>
          <w:rFonts w:cs="Times New Roman" w:ascii="Cambria" w:hAnsi="Cambria"/>
          <w:b/>
          <w:bCs/>
          <w:caps/>
          <w:sz w:val="24"/>
          <w:szCs w:val="24"/>
        </w:rPr>
      </w:r>
    </w:p>
    <w:p>
      <w:pPr>
        <w:pStyle w:val="Normal"/>
        <w:suppressAutoHyphens w:val="false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701" w:right="1701" w:header="720" w:top="1417" w:footer="720" w:bottom="1417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jc w:val="right"/>
      <w:rPr/>
    </w:pPr>
    <w:r>
      <w:rPr/>
      <w:t xml:space="preserve">Página </w:t>
    </w: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r>
      <w:rPr/>
      <w:t xml:space="preserve"> de </w:t>
    </w:r>
    <w:r>
      <w:rPr/>
      <w:fldChar w:fldCharType="begin"/>
    </w:r>
    <w:r>
      <w:instrText> NUMPAGES </w:instrText>
    </w:r>
    <w:r>
      <w:fldChar w:fldCharType="separate"/>
    </w:r>
    <w:r>
      <w:t>4</w:t>
    </w:r>
    <w:r>
      <w:fldChar w:fldCharType="end"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tabs>
        <w:tab w:val="center" w:pos="4252" w:leader="none"/>
        <w:tab w:val="right" w:pos="8504" w:leader="none"/>
        <w:tab w:val="left" w:pos="12246" w:leader="none"/>
      </w:tabs>
      <w:rPr/>
    </w:pPr>
    <w:r>
      <w:rPr/>
      <w:drawing>
        <wp:inline distT="0" distB="0" distL="0" distR="0">
          <wp:extent cx="485140" cy="643890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                                       </w:t>
    </w:r>
    <w:r>
      <w:rPr/>
      <w:drawing>
        <wp:inline distT="0" distB="127000" distL="0" distR="0">
          <wp:extent cx="1383665" cy="584200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t xml:space="preserve"> </w:t>
    </w:r>
  </w:p>
</w:hdr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65f66"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SimSun" w:cs="Calibri"/>
      <w:color w:val="00000A"/>
      <w:sz w:val="22"/>
      <w:szCs w:val="22"/>
      <w:lang w:val="pt-BR" w:eastAsia="en-US" w:bidi="ar-SA"/>
    </w:rPr>
  </w:style>
  <w:style w:type="paragraph" w:styleId="Ttulo1">
    <w:name w:val="Título 1"/>
    <w:uiPriority w:val="9"/>
    <w:qFormat/>
    <w:link w:val="Ttulo1Char"/>
    <w:rsid w:val="00666665"/>
    <w:basedOn w:val="Normal"/>
    <w:next w:val="Normal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Título 2"/>
    <w:uiPriority w:val="9"/>
    <w:qFormat/>
    <w:semiHidden/>
    <w:unhideWhenUsed/>
    <w:link w:val="Ttulo2Char"/>
    <w:rsid w:val="00666665"/>
    <w:basedOn w:val="Normal"/>
    <w:next w:val="Normal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Título 3"/>
    <w:uiPriority w:val="9"/>
    <w:qFormat/>
    <w:semiHidden/>
    <w:unhideWhenUsed/>
    <w:link w:val="Ttulo3Char"/>
    <w:rsid w:val="00666665"/>
    <w:basedOn w:val="Normal"/>
    <w:next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Título 4"/>
    <w:uiPriority w:val="9"/>
    <w:qFormat/>
    <w:semiHidden/>
    <w:unhideWhenUsed/>
    <w:link w:val="Ttulo4Char"/>
    <w:rsid w:val="00666665"/>
    <w:basedOn w:val="Normal"/>
    <w:next w:val="Normal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Título 5"/>
    <w:uiPriority w:val="9"/>
    <w:qFormat/>
    <w:semiHidden/>
    <w:unhideWhenUsed/>
    <w:link w:val="Ttulo5Char"/>
    <w:rsid w:val="00666665"/>
    <w:basedOn w:val="Normal"/>
    <w:next w:val="Normal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Título 6"/>
    <w:uiPriority w:val="9"/>
    <w:qFormat/>
    <w:semiHidden/>
    <w:unhideWhenUsed/>
    <w:link w:val="Ttulo6Char"/>
    <w:rsid w:val="00666665"/>
    <w:basedOn w:val="Normal"/>
    <w:next w:val="Normal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Título 7"/>
    <w:uiPriority w:val="9"/>
    <w:qFormat/>
    <w:semiHidden/>
    <w:unhideWhenUsed/>
    <w:link w:val="Ttulo7Char"/>
    <w:rsid w:val="00666665"/>
    <w:basedOn w:val="Normal"/>
    <w:next w:val="Normal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Título 8"/>
    <w:uiPriority w:val="9"/>
    <w:qFormat/>
    <w:semiHidden/>
    <w:unhideWhenUsed/>
    <w:link w:val="Ttulo8Char"/>
    <w:rsid w:val="00666665"/>
    <w:basedOn w:val="Normal"/>
    <w:next w:val="Normal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Título 9"/>
    <w:uiPriority w:val="9"/>
    <w:qFormat/>
    <w:semiHidden/>
    <w:unhideWhenUsed/>
    <w:link w:val="Ttulo9Char"/>
    <w:rsid w:val="00666665"/>
    <w:basedOn w:val="Normal"/>
    <w:next w:val="Normal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tulo1Char" w:customStyle="1">
    <w:name w:val="Título 1 Char"/>
    <w:uiPriority w:val="9"/>
    <w:link w:val="Ttulo1"/>
    <w:rsid w:val="00666665"/>
    <w:basedOn w:val="DefaultParagraphFont"/>
    <w:rPr>
      <w:rFonts w:ascii="Cambria" w:hAnsi="Cambria"/>
      <w:b/>
      <w:bCs/>
      <w:color w:val="365F91"/>
      <w:sz w:val="28"/>
      <w:szCs w:val="28"/>
    </w:rPr>
  </w:style>
  <w:style w:type="character" w:styleId="Ttulo2Char" w:customStyle="1">
    <w:name w:val="Título 2 Char"/>
    <w:uiPriority w:val="9"/>
    <w:semiHidden/>
    <w:link w:val="Ttulo2"/>
    <w:rsid w:val="00666665"/>
    <w:basedOn w:val="DefaultParagraphFont"/>
    <w:rPr>
      <w:rFonts w:ascii="Cambria" w:hAnsi="Cambria"/>
      <w:b/>
      <w:bCs/>
      <w:color w:val="4F81BD"/>
      <w:sz w:val="26"/>
      <w:szCs w:val="26"/>
    </w:rPr>
  </w:style>
  <w:style w:type="character" w:styleId="Ttulo3Char" w:customStyle="1">
    <w:name w:val="Título 3 Char"/>
    <w:uiPriority w:val="9"/>
    <w:semiHidden/>
    <w:link w:val="Ttulo3"/>
    <w:rsid w:val="00666665"/>
    <w:basedOn w:val="DefaultParagraphFont"/>
    <w:rPr>
      <w:rFonts w:ascii="Cambria" w:hAnsi="Cambria"/>
      <w:b/>
      <w:bCs/>
      <w:color w:val="4F81BD"/>
    </w:rPr>
  </w:style>
  <w:style w:type="character" w:styleId="Ttulo4Char" w:customStyle="1">
    <w:name w:val="Título 4 Char"/>
    <w:uiPriority w:val="9"/>
    <w:semiHidden/>
    <w:link w:val="Ttulo4"/>
    <w:rsid w:val="00666665"/>
    <w:basedOn w:val="DefaultParagraphFont"/>
    <w:rPr>
      <w:rFonts w:ascii="Cambria" w:hAnsi="Cambria"/>
      <w:b/>
      <w:bCs/>
      <w:i/>
      <w:iCs/>
      <w:color w:val="4F81BD"/>
    </w:rPr>
  </w:style>
  <w:style w:type="character" w:styleId="Ttulo5Char" w:customStyle="1">
    <w:name w:val="Título 5 Char"/>
    <w:uiPriority w:val="9"/>
    <w:semiHidden/>
    <w:link w:val="Ttulo5"/>
    <w:rsid w:val="00666665"/>
    <w:basedOn w:val="DefaultParagraphFont"/>
    <w:rPr>
      <w:rFonts w:ascii="Cambria" w:hAnsi="Cambria"/>
      <w:color w:val="243F60"/>
    </w:rPr>
  </w:style>
  <w:style w:type="character" w:styleId="Ttulo6Char" w:customStyle="1">
    <w:name w:val="Título 6 Char"/>
    <w:uiPriority w:val="9"/>
    <w:semiHidden/>
    <w:link w:val="Ttulo6"/>
    <w:rsid w:val="00666665"/>
    <w:basedOn w:val="DefaultParagraphFont"/>
    <w:rPr>
      <w:rFonts w:ascii="Cambria" w:hAnsi="Cambria"/>
      <w:i/>
      <w:iCs/>
      <w:color w:val="243F60"/>
    </w:rPr>
  </w:style>
  <w:style w:type="character" w:styleId="Ttulo7Char" w:customStyle="1">
    <w:name w:val="Título 7 Char"/>
    <w:uiPriority w:val="9"/>
    <w:semiHidden/>
    <w:link w:val="Ttulo7"/>
    <w:rsid w:val="00666665"/>
    <w:basedOn w:val="DefaultParagraphFont"/>
    <w:rPr>
      <w:rFonts w:ascii="Cambria" w:hAnsi="Cambria"/>
      <w:i/>
      <w:iCs/>
      <w:color w:val="404040"/>
    </w:rPr>
  </w:style>
  <w:style w:type="character" w:styleId="Ttulo8Char" w:customStyle="1">
    <w:name w:val="Título 8 Char"/>
    <w:uiPriority w:val="9"/>
    <w:semiHidden/>
    <w:link w:val="Ttulo8"/>
    <w:rsid w:val="00666665"/>
    <w:basedOn w:val="DefaultParagraphFont"/>
    <w:rPr>
      <w:rFonts w:ascii="Cambria" w:hAnsi="Cambria"/>
      <w:color w:val="404040"/>
      <w:sz w:val="20"/>
      <w:szCs w:val="20"/>
    </w:rPr>
  </w:style>
  <w:style w:type="character" w:styleId="Ttulo9Char" w:customStyle="1">
    <w:name w:val="Título 9 Char"/>
    <w:uiPriority w:val="9"/>
    <w:semiHidden/>
    <w:link w:val="Ttulo9"/>
    <w:rsid w:val="00666665"/>
    <w:basedOn w:val="DefaultParagraphFont"/>
    <w:rPr>
      <w:rFonts w:ascii="Cambria" w:hAnsi="Cambria"/>
      <w:i/>
      <w:iCs/>
      <w:color w:val="404040"/>
      <w:sz w:val="20"/>
      <w:szCs w:val="20"/>
    </w:rPr>
  </w:style>
  <w:style w:type="character" w:styleId="CabealhoChar" w:customStyle="1">
    <w:name w:val="Cabeçalho Char"/>
    <w:uiPriority w:val="99"/>
    <w:link w:val="Cabealho"/>
    <w:rsid w:val="007e59be"/>
    <w:basedOn w:val="DefaultParagraphFont"/>
    <w:rPr/>
  </w:style>
  <w:style w:type="character" w:styleId="RodapChar" w:customStyle="1">
    <w:name w:val="Rodapé Char"/>
    <w:uiPriority w:val="99"/>
    <w:link w:val="Rodap"/>
    <w:rsid w:val="007e59be"/>
    <w:basedOn w:val="DefaultParagraphFont"/>
    <w:rPr/>
  </w:style>
  <w:style w:type="character" w:styleId="TextodebaloChar" w:customStyle="1">
    <w:name w:val="Texto de balão Char"/>
    <w:uiPriority w:val="99"/>
    <w:semiHidden/>
    <w:link w:val="Textodebalo"/>
    <w:rsid w:val="007e59be"/>
    <w:basedOn w:val="DefaultParagraphFont"/>
    <w:rPr>
      <w:rFonts w:ascii="Tahoma" w:hAnsi="Tahoma" w:cs="Tahoma"/>
      <w:sz w:val="16"/>
      <w:szCs w:val="16"/>
    </w:rPr>
  </w:style>
  <w:style w:type="character" w:styleId="ListLabel1" w:customStyle="1">
    <w:name w:val="ListLabel 1"/>
    <w:rsid w:val="00906681"/>
    <w:rPr>
      <w:rFonts w:cs="Courier New"/>
    </w:rPr>
  </w:style>
  <w:style w:type="character" w:styleId="Annotationreference">
    <w:name w:val="annotation reference"/>
    <w:uiPriority w:val="99"/>
    <w:semiHidden/>
    <w:unhideWhenUsed/>
    <w:rsid w:val="00df0162"/>
    <w:basedOn w:val="DefaultParagraphFont"/>
    <w:rPr>
      <w:sz w:val="16"/>
      <w:szCs w:val="16"/>
    </w:rPr>
  </w:style>
  <w:style w:type="character" w:styleId="TextodecomentrioChar" w:customStyle="1">
    <w:name w:val="Texto de comentário Char"/>
    <w:uiPriority w:val="99"/>
    <w:semiHidden/>
    <w:link w:val="Textodecomentrio"/>
    <w:rsid w:val="00df0162"/>
    <w:basedOn w:val="DefaultParagraphFont"/>
    <w:rPr>
      <w:color w:val="00000A"/>
      <w:sz w:val="20"/>
      <w:szCs w:val="20"/>
    </w:rPr>
  </w:style>
  <w:style w:type="character" w:styleId="AssuntodocomentrioChar" w:customStyle="1">
    <w:name w:val="Assunto do comentário Char"/>
    <w:uiPriority w:val="99"/>
    <w:semiHidden/>
    <w:link w:val="Assuntodocomentrio"/>
    <w:rsid w:val="00df0162"/>
    <w:basedOn w:val="TextodecomentrioChar"/>
    <w:rPr>
      <w:b/>
      <w:bCs/>
      <w:color w:val="00000A"/>
      <w:sz w:val="20"/>
      <w:szCs w:val="20"/>
    </w:rPr>
  </w:style>
  <w:style w:type="character" w:styleId="ListLabel2" w:customStyle="1">
    <w:name w:val="ListLabel 2"/>
    <w:rPr>
      <w:b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rsid w:val="00906681"/>
    <w:basedOn w:val="Normal"/>
    <w:pPr>
      <w:spacing w:lineRule="auto" w:line="288" w:before="0" w:after="140"/>
    </w:pPr>
    <w:rPr/>
  </w:style>
  <w:style w:type="paragraph" w:styleId="Lista">
    <w:name w:val="Lista"/>
    <w:rsid w:val="00906681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906681"/>
    <w:basedOn w:val="Normal"/>
    <w:pPr>
      <w:suppressLineNumbers/>
    </w:pPr>
    <w:rPr>
      <w:rFonts w:cs="Mangal"/>
    </w:rPr>
  </w:style>
  <w:style w:type="paragraph" w:styleId="Ttulododocumento" w:customStyle="1">
    <w:name w:val="Título do documento"/>
    <w:rsid w:val="00906681"/>
    <w:basedOn w:val="Normal"/>
    <w:pPr>
      <w:keepNext/>
      <w:spacing w:before="240" w:after="120"/>
      <w:jc w:val="left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rsid w:val="0090668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uiPriority w:val="99"/>
    <w:unhideWhenUsed/>
    <w:link w:val="CabealhoChar"/>
    <w:rsid w:val="007e59be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uiPriority w:val="99"/>
    <w:unhideWhenUsed/>
    <w:link w:val="RodapChar"/>
    <w:rsid w:val="007e59be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xtodebaloChar"/>
    <w:rsid w:val="007e59be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372a3d"/>
    <w:basedOn w:val="Normal"/>
    <w:pPr>
      <w:spacing w:before="0" w:after="200"/>
      <w:ind w:left="720" w:right="0" w:hanging="0"/>
      <w:contextualSpacing/>
    </w:pPr>
    <w:rPr/>
  </w:style>
  <w:style w:type="paragraph" w:styleId="Annotationtext">
    <w:name w:val="annotation text"/>
    <w:uiPriority w:val="99"/>
    <w:semiHidden/>
    <w:unhideWhenUsed/>
    <w:link w:val="TextodecomentrioChar"/>
    <w:rsid w:val="00df0162"/>
    <w:basedOn w:val="Normal"/>
    <w:pPr>
      <w:spacing w:lineRule="auto" w:line="240"/>
    </w:pPr>
    <w:rPr>
      <w:sz w:val="20"/>
      <w:szCs w:val="20"/>
    </w:rPr>
  </w:style>
  <w:style w:type="paragraph" w:styleId="Annotationsubject">
    <w:name w:val="annotation subject"/>
    <w:uiPriority w:val="99"/>
    <w:semiHidden/>
    <w:unhideWhenUsed/>
    <w:link w:val="AssuntodocomentrioChar"/>
    <w:rsid w:val="00df0162"/>
    <w:basedOn w:val="Annotationtext"/>
    <w:pPr/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Mdio1-nfase1">
    <w:name w:val="Medium Shading 1 Accent 1"/>
    <w:basedOn w:val="Tabelanormal"/>
    <w:uiPriority w:val="63"/>
    <w:rsid w:val="00c33125"/>
    <w:pPr>
      <w:spacing w:line="240" w:lineRule="auto"/>
    </w:pPr>
    <w:rPr>
      <w:rFonts w:cstheme="minorBidi" w:eastAsiaTheme="minorHAnsi" w:hAnsiTheme="minorHAnsi" w:asciiTheme="minorHAnsi"/>
    </w:rPr>
    <w:tblPr>
      <w:tblStyleRowBandSize w:val="1"/>
      <w:tblStyleColBandSize w:val="1"/>
      <w:tblInd w:type="dxa" w:w="0"/>
      <w:tblBorders>
        <w:top w:space="0" w:sz="8" w:themeTint="bf" w:themeColor="accent1" w:color="7BA0CD" w:val="single"/>
        <w:left w:space="0" w:sz="8" w:themeTint="bf" w:themeColor="accent1" w:color="7BA0CD" w:val="single"/>
        <w:bottom w:space="0" w:sz="8" w:themeTint="bf" w:themeColor="accent1" w:color="7BA0CD" w:val="single"/>
        <w:right w:space="0" w:sz="8" w:themeTint="bf" w:themeColor="accent1" w:color="7BA0CD" w:val="single"/>
        <w:insideH w:space="0" w:sz="8" w:themeTint="bf" w:themeColor="accent1" w:color="7BA0CD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 w:after="0" w:before="0"/>
      </w:pPr>
      <w:rPr>
        <w:b/>
        <w:bCs/>
        <w:color w:themeColor="background1" w:val="FFFFFF"/>
      </w:rPr>
      <w:tblPr/>
      <w:tcPr>
        <w:tcBorders>
          <w:top w:space="0" w:sz="8" w:themeColor="accent1" w:color="4F81BD" w:val="sing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  <w:insideH w:val="nil"/>
          <w:insideV w:val="nil"/>
        </w:tcBorders>
        <w:shd w:themeFill="accent1" w:fill="4F81BD" w:color="auto" w:val="clear"/>
      </w:tcPr>
    </w:tblStylePr>
    <w:tblStylePr w:type="lastRow">
      <w:pPr>
        <w:spacing w:line="240" w:lineRule="auto" w:after="0" w:before="0"/>
      </w:pPr>
      <w:rPr>
        <w:b/>
        <w:bCs/>
      </w:rPr>
      <w:tblPr/>
      <w:tcPr>
        <w:tcBorders>
          <w:top w:space="0" w:sz="6" w:themeColor="accent1" w:color="4F81BD" w:val="doub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3f" w:themeFill="accent1" w:fill="D3DFEE" w:color="auto" w:val="clear"/>
      </w:tcPr>
    </w:tblStylePr>
    <w:tblStylePr w:type="band1Horz">
      <w:tblPr/>
      <w:tcPr>
        <w:tcBorders>
          <w:insideH w:val="nil"/>
          <w:insideV w:val="nil"/>
        </w:tcBorders>
        <w:shd w:themeFillTint="3f" w:themeFill="accent1" w:fill="D3DFEE" w:color="auto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3c0488"/>
    <w:pPr>
      <w:spacing w:line="24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5.png"/><Relationship Id="rId2" Type="http://schemas.openxmlformats.org/officeDocument/2006/relationships/image" Target="media/image26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2015-02-11T12:48:00Z</dcterms:created>
  <dc:creator>Loiane Alves</dc:creator>
  <dc:language>pt-BR</dc:language>
  <cp:lastModifiedBy>Loiane Alves</cp:lastModifiedBy>
  <cp:lastPrinted>2015-02-11T08:11:00Z</cp:lastPrinted>
  <dcterms:modified xsi:type="dcterms:W3CDTF">2015-02-11T12:48:00Z</dcterms:modified>
  <cp:revision>2</cp:revision>
</cp:coreProperties>
</file>